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698"/>
        <w:gridCol w:w="2802"/>
        <w:gridCol w:w="1166"/>
        <w:gridCol w:w="1984"/>
        <w:gridCol w:w="1840"/>
      </w:tblGrid>
      <w:tr w:rsidR="00CA250F" w:rsidRPr="00CA250F" w14:paraId="6E4DE14C" w14:textId="77777777" w:rsidTr="00CA250F">
        <w:tc>
          <w:tcPr>
            <w:tcW w:w="2698" w:type="dxa"/>
            <w:shd w:val="clear" w:color="auto" w:fill="FFFFFF" w:themeFill="background1"/>
          </w:tcPr>
          <w:p w14:paraId="4FC41F87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802" w:type="dxa"/>
            <w:shd w:val="clear" w:color="auto" w:fill="FFFFFF" w:themeFill="background1"/>
          </w:tcPr>
          <w:p w14:paraId="31FA6E10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166" w:type="dxa"/>
            <w:shd w:val="clear" w:color="auto" w:fill="FFFFFF" w:themeFill="background1"/>
          </w:tcPr>
          <w:p w14:paraId="6F5D247E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984" w:type="dxa"/>
            <w:shd w:val="clear" w:color="auto" w:fill="FFFFFF" w:themeFill="background1"/>
          </w:tcPr>
          <w:p w14:paraId="634DD6F4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1840" w:type="dxa"/>
            <w:shd w:val="clear" w:color="auto" w:fill="FFFFFF" w:themeFill="background1"/>
          </w:tcPr>
          <w:p w14:paraId="3C3C3F1C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CA250F" w:rsidRPr="00CA250F" w14:paraId="5EFC4AA4" w14:textId="77777777" w:rsidTr="00E56442">
        <w:tc>
          <w:tcPr>
            <w:tcW w:w="2698" w:type="dxa"/>
          </w:tcPr>
          <w:p w14:paraId="3CC90F6E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11UY0013</w:t>
            </w:r>
          </w:p>
        </w:tc>
        <w:tc>
          <w:tcPr>
            <w:tcW w:w="2802" w:type="dxa"/>
          </w:tcPr>
          <w:p w14:paraId="0861BB51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Endüstriyel Boru Montajcısı</w:t>
            </w:r>
          </w:p>
        </w:tc>
        <w:tc>
          <w:tcPr>
            <w:tcW w:w="1166" w:type="dxa"/>
          </w:tcPr>
          <w:p w14:paraId="285BC96D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44B1A82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</w:tcPr>
          <w:p w14:paraId="3044EB1B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22/04/2020</w:t>
            </w:r>
          </w:p>
        </w:tc>
      </w:tr>
      <w:tr w:rsidR="00CA250F" w:rsidRPr="00CA250F" w14:paraId="14701877" w14:textId="77777777" w:rsidTr="00E56442">
        <w:tc>
          <w:tcPr>
            <w:tcW w:w="10490" w:type="dxa"/>
            <w:gridSpan w:val="5"/>
          </w:tcPr>
          <w:p w14:paraId="0FC85BA2" w14:textId="77777777" w:rsidR="00CA250F" w:rsidRPr="00CA250F" w:rsidRDefault="00CA250F" w:rsidP="00CA25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50F" w:rsidRPr="00CA250F" w14:paraId="195EB086" w14:textId="77777777" w:rsidTr="00CA250F">
        <w:trPr>
          <w:trHeight w:val="1214"/>
        </w:trPr>
        <w:tc>
          <w:tcPr>
            <w:tcW w:w="2698" w:type="dxa"/>
            <w:shd w:val="clear" w:color="auto" w:fill="FFFFFF" w:themeFill="background1"/>
            <w:vAlign w:val="center"/>
          </w:tcPr>
          <w:p w14:paraId="2B675311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7792" w:type="dxa"/>
            <w:gridSpan w:val="4"/>
            <w:vAlign w:val="center"/>
          </w:tcPr>
          <w:p w14:paraId="35EA71BE" w14:textId="77777777" w:rsidR="00CA250F" w:rsidRPr="00CA250F" w:rsidRDefault="00CA250F" w:rsidP="00CA25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Bu yeterlilik Endüstriyel Boru Montajcısı (Seviye 3) mesleğinin nitelikli kişiler tarafından yürütülmesi ve meslekte kalitenin artırılması için;</w:t>
            </w:r>
          </w:p>
          <w:p w14:paraId="7E1A5332" w14:textId="77777777" w:rsidR="00CA250F" w:rsidRPr="00CA250F" w:rsidRDefault="00CA250F" w:rsidP="00CA25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Adayların sahip olması gereken nitelikleri, bilgi, beceri ve yetkinlikleri tanımlamak,</w:t>
            </w:r>
          </w:p>
          <w:p w14:paraId="52F6A8D0" w14:textId="77777777" w:rsidR="00CA250F" w:rsidRPr="00CA250F" w:rsidRDefault="00CA250F" w:rsidP="00CA25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Adayların, geçerli ve güvenilir bir belge ile mesleki yeterliliğini kanıtlamasına olanak sağlamak,</w:t>
            </w:r>
          </w:p>
          <w:p w14:paraId="5BB712F2" w14:textId="77777777" w:rsidR="00CA250F" w:rsidRPr="00CA250F" w:rsidRDefault="00CA250F" w:rsidP="00CA25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Eğitim sistemine yetkilendirilmiş belgelendirme kuruluşlarına referans ve kaynak oluşturmak amacıyla hazırlanmıştır.</w:t>
            </w:r>
          </w:p>
        </w:tc>
      </w:tr>
      <w:tr w:rsidR="00CA250F" w:rsidRPr="00CA250F" w14:paraId="1A08F219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60A6B9A7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7792" w:type="dxa"/>
            <w:gridSpan w:val="4"/>
            <w:vAlign w:val="center"/>
          </w:tcPr>
          <w:p w14:paraId="772D259D" w14:textId="77777777" w:rsidR="00CA250F" w:rsidRPr="00CA250F" w:rsidRDefault="00CA250F" w:rsidP="00CA25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Eğitim ve kurs ön şartı bulunmamaktadır</w:t>
            </w:r>
          </w:p>
        </w:tc>
      </w:tr>
      <w:tr w:rsidR="00CA250F" w:rsidRPr="00CA250F" w14:paraId="18230A13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643C5882" w14:textId="77777777" w:rsidR="00CA250F" w:rsidRPr="00CA250F" w:rsidRDefault="00CA250F" w:rsidP="00CA2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7792" w:type="dxa"/>
            <w:gridSpan w:val="4"/>
          </w:tcPr>
          <w:p w14:paraId="7A1C729A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b/>
                <w:color w:val="auto"/>
              </w:rPr>
            </w:pPr>
            <w:r w:rsidRPr="00CA250F">
              <w:rPr>
                <w:rFonts w:eastAsia="Times New Roman"/>
                <w:b/>
                <w:color w:val="auto"/>
              </w:rPr>
              <w:t xml:space="preserve">Zorunlu Birimler </w:t>
            </w:r>
          </w:p>
          <w:p w14:paraId="3065760F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11UY0013–3/A1 İş Sağlığı ve Güvenliği ile Çevre Koruma</w:t>
            </w:r>
          </w:p>
          <w:p w14:paraId="3F6ED785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rPr>
                <w:rFonts w:eastAsia="Times New Roman"/>
                <w:b/>
                <w:color w:val="auto"/>
              </w:rPr>
              <w:t xml:space="preserve">Seçmeli Birimler </w:t>
            </w:r>
            <w:r w:rsidRPr="00CA250F">
              <w:t xml:space="preserve"> </w:t>
            </w:r>
          </w:p>
          <w:p w14:paraId="1A4EDA64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11UY0013–3/B1 Mekanik Boru Tesisatı İmalatı</w:t>
            </w:r>
          </w:p>
          <w:p w14:paraId="5E1CF655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b/>
                <w:color w:val="auto"/>
              </w:rPr>
            </w:pPr>
            <w:r w:rsidRPr="00CA250F">
              <w:t>11UY0013–3/B2 Endüstriyel Boru Montajı</w:t>
            </w:r>
          </w:p>
        </w:tc>
      </w:tr>
      <w:tr w:rsidR="00CA250F" w:rsidRPr="00CA250F" w14:paraId="08581FB0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134643A9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Birimlerin Gruplandırılma Alternatifleri ve İlave Öğrenme Çıktıları</w:t>
            </w:r>
          </w:p>
        </w:tc>
        <w:tc>
          <w:tcPr>
            <w:tcW w:w="7792" w:type="dxa"/>
            <w:gridSpan w:val="4"/>
            <w:vAlign w:val="center"/>
          </w:tcPr>
          <w:p w14:paraId="099E6C2F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I. Alternatif: A1, B1, B2</w:t>
            </w:r>
          </w:p>
          <w:p w14:paraId="1DA90CFC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II. Alternatif: A1, B1</w:t>
            </w:r>
          </w:p>
          <w:p w14:paraId="7963E514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III. Alternatif: A1, B2</w:t>
            </w:r>
          </w:p>
        </w:tc>
      </w:tr>
      <w:tr w:rsidR="00CA250F" w:rsidRPr="00CA250F" w14:paraId="714F576C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37C45A4F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Ölçme ve Değerlendirme</w:t>
            </w:r>
          </w:p>
        </w:tc>
        <w:tc>
          <w:tcPr>
            <w:tcW w:w="7792" w:type="dxa"/>
            <w:gridSpan w:val="4"/>
            <w:vAlign w:val="center"/>
          </w:tcPr>
          <w:p w14:paraId="02C96B75" w14:textId="77777777" w:rsidR="00CA250F" w:rsidRPr="00CA250F" w:rsidRDefault="00CA250F" w:rsidP="00CA250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Endüstriyel Boru Montajcısı (Seviye 3) Mesleki Yeterlilik Belgesini elde etmek isteyen adaylar birimlerde tanımlanan sınavlara tabi tutulur. Adayların mesleki yeterlilik belgesini alabilmeleri için birimlerde tanımlanan sınavlardan başarılı olmaları şartı vardır.</w:t>
            </w:r>
          </w:p>
          <w:p w14:paraId="042C2A6B" w14:textId="77777777" w:rsidR="00CA250F" w:rsidRPr="00CA250F" w:rsidRDefault="00CA250F" w:rsidP="00CA250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14:paraId="2D640638" w14:textId="77777777" w:rsidR="00CA250F" w:rsidRPr="00CA250F" w:rsidRDefault="00CA250F" w:rsidP="00CA250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F">
              <w:rPr>
                <w:rFonts w:ascii="Times New Roman" w:hAnsi="Times New Roman" w:cs="Times New Roman"/>
                <w:sz w:val="24"/>
                <w:szCs w:val="24"/>
              </w:rPr>
              <w:t>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CA250F" w:rsidRPr="00CA250F" w14:paraId="698A2F5A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0BD9AE91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Belge Geçerlilik Süresi</w:t>
            </w:r>
          </w:p>
        </w:tc>
        <w:tc>
          <w:tcPr>
            <w:tcW w:w="7792" w:type="dxa"/>
            <w:gridSpan w:val="4"/>
          </w:tcPr>
          <w:p w14:paraId="390AAC8B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Yeterlilik belgesinin geçerlilik süresi 5 yıldır.</w:t>
            </w:r>
          </w:p>
        </w:tc>
      </w:tr>
      <w:tr w:rsidR="00CA250F" w:rsidRPr="00CA250F" w14:paraId="2301D6A2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75478E3F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Gözetim Sıklığı</w:t>
            </w:r>
          </w:p>
        </w:tc>
        <w:tc>
          <w:tcPr>
            <w:tcW w:w="7792" w:type="dxa"/>
            <w:gridSpan w:val="4"/>
          </w:tcPr>
          <w:p w14:paraId="5528FF12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Belge geçerlilik süresi içerisinde gözetim bulunmamaktadır.</w:t>
            </w:r>
          </w:p>
          <w:p w14:paraId="20CE3CDE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</w:p>
        </w:tc>
      </w:tr>
      <w:tr w:rsidR="00CA250F" w:rsidRPr="00CA250F" w14:paraId="64074C3D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1893D15B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Belge Yenilemede Uygulanacak Ölçme-Değerlendirme Yöntemi</w:t>
            </w:r>
          </w:p>
        </w:tc>
        <w:tc>
          <w:tcPr>
            <w:tcW w:w="7792" w:type="dxa"/>
            <w:gridSpan w:val="4"/>
          </w:tcPr>
          <w:p w14:paraId="79D354FD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Beş (5) yıllık geçerlilik süresinin sonunda belge sahibinin performansı aşağıda tanımlanan yöntemlerden en az biri kullanılarak değerlendirmeye tabi tutulur;</w:t>
            </w:r>
          </w:p>
          <w:p w14:paraId="3B70724F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a) 5 yıl belge geçerlilik süresi içinde yeterlilik belgesi kapsamında en az iki yıl veya son altı ay boyunca ilgili alanda çalıştığını gösteren kayıtları (hizmet dökümü, referans yazısı/mektubu, sözleşme, fatura, portfolyo</w:t>
            </w:r>
          </w:p>
          <w:p w14:paraId="63DE190A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vb.) sunulması,</w:t>
            </w:r>
          </w:p>
          <w:p w14:paraId="5A737464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t>b) Yeterlilik kapsamında yer alan yeterlilik birimleri için tanımlanan performansa dayalı sınavların (P1) yapılması.</w:t>
            </w:r>
          </w:p>
          <w:p w14:paraId="1A44FF6A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both"/>
            </w:pPr>
            <w:r w:rsidRPr="00CA250F">
              <w:lastRenderedPageBreak/>
              <w:t>Değerlendirme sonucu olumlu olan adayların belge geçerlilik süreleri 5 yıl daha uzatılır.</w:t>
            </w:r>
          </w:p>
        </w:tc>
      </w:tr>
      <w:tr w:rsidR="00CA250F" w:rsidRPr="00CA250F" w14:paraId="0626BCA3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0704ABFC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lastRenderedPageBreak/>
              <w:t>Meslekte Yatay ve Dikey İlerleme Yolları</w:t>
            </w:r>
          </w:p>
        </w:tc>
        <w:tc>
          <w:tcPr>
            <w:tcW w:w="7792" w:type="dxa"/>
            <w:gridSpan w:val="4"/>
            <w:vAlign w:val="center"/>
          </w:tcPr>
          <w:p w14:paraId="5946A4A2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-</w:t>
            </w:r>
          </w:p>
        </w:tc>
      </w:tr>
      <w:tr w:rsidR="00CA250F" w:rsidRPr="00CA250F" w14:paraId="74012F8F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171F6E44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Sınav Soru Sayısı</w:t>
            </w:r>
          </w:p>
        </w:tc>
        <w:tc>
          <w:tcPr>
            <w:tcW w:w="7792" w:type="dxa"/>
            <w:gridSpan w:val="4"/>
            <w:vAlign w:val="center"/>
          </w:tcPr>
          <w:p w14:paraId="2BD5F142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b/>
                <w:color w:val="auto"/>
              </w:rPr>
            </w:pPr>
            <w:r w:rsidRPr="00CA250F">
              <w:rPr>
                <w:rFonts w:eastAsia="Times New Roman"/>
                <w:b/>
                <w:color w:val="auto"/>
              </w:rPr>
              <w:t xml:space="preserve">Teorik (Mülakat) Sınav: </w:t>
            </w:r>
          </w:p>
          <w:p w14:paraId="4995408D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A1 Biriminden en az 25 soru</w:t>
            </w:r>
          </w:p>
          <w:p w14:paraId="7DDA3750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B1 Biriminden en az 10 soru</w:t>
            </w:r>
          </w:p>
          <w:p w14:paraId="3788ECF4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 xml:space="preserve">B2 Biriminden en az 20 soru </w:t>
            </w:r>
          </w:p>
          <w:p w14:paraId="1AF70DE8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Soru başına düşün süre 1.5 dakikadır.</w:t>
            </w:r>
          </w:p>
          <w:p w14:paraId="12DD38C7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b/>
                <w:color w:val="auto"/>
              </w:rPr>
              <w:t>Performans (Uygulama Sınavı):</w:t>
            </w:r>
            <w:r w:rsidRPr="00CA250F">
              <w:rPr>
                <w:rFonts w:eastAsia="Times New Roman"/>
                <w:color w:val="auto"/>
              </w:rPr>
              <w:t xml:space="preserve"> B1 ve B2 birimlerinden ayrı ayrı iş emir ile performans uygulaması yaptırılacaktır.</w:t>
            </w:r>
          </w:p>
          <w:p w14:paraId="4BD7E64F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Sınav Süresi;</w:t>
            </w:r>
          </w:p>
          <w:p w14:paraId="34AB517F" w14:textId="4D80154A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 xml:space="preserve">B1 </w:t>
            </w:r>
            <w:r w:rsidR="00AA0D20">
              <w:rPr>
                <w:rFonts w:eastAsia="Times New Roman"/>
                <w:color w:val="auto"/>
              </w:rPr>
              <w:t>120</w:t>
            </w:r>
            <w:r w:rsidRPr="00CA250F">
              <w:rPr>
                <w:rFonts w:eastAsia="Times New Roman"/>
                <w:color w:val="auto"/>
              </w:rPr>
              <w:t xml:space="preserve"> dk.</w:t>
            </w:r>
          </w:p>
          <w:p w14:paraId="2B624516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B2 180 dk</w:t>
            </w:r>
          </w:p>
        </w:tc>
      </w:tr>
      <w:tr w:rsidR="00CA250F" w:rsidRPr="00CA250F" w14:paraId="3AAD52F2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6C8A8798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Başarı Notu</w:t>
            </w:r>
          </w:p>
        </w:tc>
        <w:tc>
          <w:tcPr>
            <w:tcW w:w="7792" w:type="dxa"/>
            <w:gridSpan w:val="4"/>
            <w:vAlign w:val="center"/>
          </w:tcPr>
          <w:p w14:paraId="1980BBCC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b/>
                <w:color w:val="auto"/>
              </w:rPr>
              <w:t>Teorik (Yazılı) Sınav:</w:t>
            </w:r>
            <w:r w:rsidRPr="00CA250F">
              <w:rPr>
                <w:rFonts w:eastAsia="Times New Roman"/>
                <w:color w:val="auto"/>
              </w:rPr>
              <w:t xml:space="preserve"> </w:t>
            </w:r>
          </w:p>
          <w:p w14:paraId="7AB13209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A1, B1 ve B2 Biriminden en az %60 alınmalıdır.</w:t>
            </w:r>
          </w:p>
          <w:p w14:paraId="7AD9748F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b/>
                <w:color w:val="auto"/>
              </w:rPr>
              <w:t>Performans (Uygulama Sınavı</w:t>
            </w:r>
            <w:r w:rsidRPr="00CA250F">
              <w:rPr>
                <w:rFonts w:eastAsia="Times New Roman"/>
                <w:color w:val="auto"/>
              </w:rPr>
              <w:t>:</w:t>
            </w:r>
          </w:p>
          <w:p w14:paraId="0359845E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B1 ve B2 Birimlerinin performans uygulamalarından en az %70 alınmalıdır.</w:t>
            </w:r>
          </w:p>
          <w:p w14:paraId="1C37CBB7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rPr>
                <w:rFonts w:eastAsia="Times New Roman"/>
                <w:b/>
                <w:color w:val="auto"/>
              </w:rPr>
              <w:t>Not:</w:t>
            </w:r>
            <w:r w:rsidRPr="00CA250F">
              <w:t xml:space="preserve"> 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14:paraId="238EDC7C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t>Yeterlilik birimlerinin geçerlilik süresi birimin başarıldığı tarihten itibaren 2 yıldır.</w:t>
            </w:r>
          </w:p>
        </w:tc>
      </w:tr>
      <w:tr w:rsidR="00CA250F" w:rsidRPr="00CA250F" w14:paraId="1A11248B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2653D5D9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Şikâyet</w:t>
            </w:r>
          </w:p>
        </w:tc>
        <w:tc>
          <w:tcPr>
            <w:tcW w:w="7792" w:type="dxa"/>
            <w:gridSpan w:val="4"/>
            <w:vAlign w:val="center"/>
          </w:tcPr>
          <w:p w14:paraId="793FA7B1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CA250F">
              <w:rPr>
                <w:rFonts w:eastAsia="Times New Roman"/>
                <w:color w:val="auto"/>
              </w:rPr>
              <w:t>Belge geçerliliği devam ettiği sürüce yapılabilir.</w:t>
            </w:r>
          </w:p>
        </w:tc>
      </w:tr>
      <w:tr w:rsidR="00CA250F" w:rsidRPr="00CA250F" w14:paraId="65F0C80A" w14:textId="77777777" w:rsidTr="00CA250F">
        <w:tc>
          <w:tcPr>
            <w:tcW w:w="2698" w:type="dxa"/>
            <w:shd w:val="clear" w:color="auto" w:fill="FFFFFF" w:themeFill="background1"/>
            <w:vAlign w:val="center"/>
          </w:tcPr>
          <w:p w14:paraId="1EB3A9E9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Sınav sonucuna itirazlar</w:t>
            </w:r>
          </w:p>
        </w:tc>
        <w:tc>
          <w:tcPr>
            <w:tcW w:w="7792" w:type="dxa"/>
            <w:gridSpan w:val="4"/>
            <w:vAlign w:val="center"/>
          </w:tcPr>
          <w:p w14:paraId="6D8A1912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rFonts w:eastAsia="Times New Roman"/>
                <w:b/>
                <w:color w:val="auto"/>
              </w:rPr>
            </w:pPr>
            <w:r w:rsidRPr="00CA250F">
              <w:t>Sınav sonuçları beyan edildikten sonra itirazlar on beş (15) gün içerisinde kabul edilmektedir.</w:t>
            </w:r>
          </w:p>
        </w:tc>
      </w:tr>
      <w:tr w:rsidR="00CA250F" w:rsidRPr="00CA250F" w14:paraId="39524AE6" w14:textId="77777777" w:rsidTr="00CA250F">
        <w:tc>
          <w:tcPr>
            <w:tcW w:w="2698" w:type="dxa"/>
            <w:shd w:val="clear" w:color="auto" w:fill="FFFFFF" w:themeFill="background1"/>
            <w:hideMark/>
          </w:tcPr>
          <w:p w14:paraId="61371540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color w:val="002060"/>
              </w:rPr>
            </w:pPr>
            <w:r w:rsidRPr="00CA250F">
              <w:rPr>
                <w:b/>
                <w:bCs/>
                <w:color w:val="002060"/>
              </w:rPr>
              <w:t xml:space="preserve">Yeterliliği Geliştiren Kuruluş(Lar) </w:t>
            </w:r>
          </w:p>
        </w:tc>
        <w:tc>
          <w:tcPr>
            <w:tcW w:w="7792" w:type="dxa"/>
            <w:gridSpan w:val="4"/>
          </w:tcPr>
          <w:p w14:paraId="19372E7D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Geliştiren: Türkiye İnşaat Sanayicileri İşveren Sendikası</w:t>
            </w:r>
          </w:p>
          <w:p w14:paraId="74FF3D03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(İNTES)</w:t>
            </w:r>
          </w:p>
          <w:p w14:paraId="7ED4807E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Güncelleyen: MYK Çalışma Grubu</w:t>
            </w:r>
          </w:p>
        </w:tc>
      </w:tr>
      <w:tr w:rsidR="00CA250F" w:rsidRPr="00CA250F" w14:paraId="480B146D" w14:textId="77777777" w:rsidTr="00CA250F">
        <w:tc>
          <w:tcPr>
            <w:tcW w:w="2698" w:type="dxa"/>
            <w:shd w:val="clear" w:color="auto" w:fill="FFFFFF" w:themeFill="background1"/>
            <w:hideMark/>
          </w:tcPr>
          <w:p w14:paraId="25102D67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color w:val="002060"/>
              </w:rPr>
            </w:pPr>
            <w:r w:rsidRPr="00CA250F">
              <w:rPr>
                <w:b/>
                <w:bCs/>
                <w:color w:val="002060"/>
              </w:rPr>
              <w:t xml:space="preserve">Yeterliliği Doğrulayan Sektör Komitesi </w:t>
            </w:r>
          </w:p>
        </w:tc>
        <w:tc>
          <w:tcPr>
            <w:tcW w:w="7792" w:type="dxa"/>
            <w:gridSpan w:val="4"/>
          </w:tcPr>
          <w:p w14:paraId="78AA85B5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İnşaat Sektör Komitesi</w:t>
            </w:r>
          </w:p>
          <w:p w14:paraId="40D860EC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Rev: Metal Sektör Komitesi</w:t>
            </w:r>
          </w:p>
        </w:tc>
      </w:tr>
      <w:tr w:rsidR="00CA250F" w:rsidRPr="00CA250F" w14:paraId="5B99F935" w14:textId="77777777" w:rsidTr="00CA250F">
        <w:tc>
          <w:tcPr>
            <w:tcW w:w="2698" w:type="dxa"/>
            <w:shd w:val="clear" w:color="auto" w:fill="FFFFFF" w:themeFill="background1"/>
            <w:hideMark/>
          </w:tcPr>
          <w:p w14:paraId="6C1B7981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MYK Yönetim Kurulu Onay Tarihi ve Sayısı</w:t>
            </w:r>
          </w:p>
        </w:tc>
        <w:tc>
          <w:tcPr>
            <w:tcW w:w="7792" w:type="dxa"/>
            <w:gridSpan w:val="4"/>
          </w:tcPr>
          <w:p w14:paraId="751136E2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CA250F">
              <w:rPr>
                <w:color w:val="auto"/>
              </w:rPr>
              <w:t>İlk Onay: 26/04/2011 – 2011/31</w:t>
            </w:r>
          </w:p>
          <w:p w14:paraId="30736108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CA250F">
              <w:rPr>
                <w:color w:val="auto"/>
              </w:rPr>
              <w:t>01 No’lu Revizyon: 09/05/2012 – 2012/39</w:t>
            </w:r>
          </w:p>
          <w:p w14:paraId="555E3D28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CA250F">
              <w:rPr>
                <w:color w:val="auto"/>
              </w:rPr>
              <w:t>02 No’lu Revizyon: 11/12/2013 – 2013/104</w:t>
            </w:r>
          </w:p>
          <w:p w14:paraId="1B5D0BCA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rPr>
                <w:color w:val="auto"/>
              </w:rPr>
              <w:t>03 No’lu Revizyon: 22/04/2020 – 2020/49</w:t>
            </w:r>
          </w:p>
        </w:tc>
      </w:tr>
      <w:tr w:rsidR="00CA250F" w:rsidRPr="00CA250F" w14:paraId="3F84968C" w14:textId="77777777" w:rsidTr="00CA250F">
        <w:tc>
          <w:tcPr>
            <w:tcW w:w="2698" w:type="dxa"/>
            <w:shd w:val="clear" w:color="auto" w:fill="FFFFFF" w:themeFill="background1"/>
            <w:hideMark/>
          </w:tcPr>
          <w:p w14:paraId="3CFA4244" w14:textId="77777777" w:rsidR="00CA250F" w:rsidRPr="00CA250F" w:rsidRDefault="00CA250F" w:rsidP="00CA250F">
            <w:pPr>
              <w:pStyle w:val="Default"/>
              <w:shd w:val="clear" w:color="auto" w:fill="FFFFFF" w:themeFill="background1"/>
              <w:jc w:val="center"/>
              <w:rPr>
                <w:rFonts w:eastAsia="Times New Roman"/>
                <w:b/>
                <w:color w:val="002060"/>
              </w:rPr>
            </w:pPr>
            <w:r w:rsidRPr="00CA250F">
              <w:rPr>
                <w:rFonts w:eastAsia="Times New Roman"/>
                <w:b/>
                <w:color w:val="002060"/>
              </w:rPr>
              <w:t>Yeterlilik Birimine Kaynak Teşkil Eden Meslek Standardı</w:t>
            </w:r>
          </w:p>
        </w:tc>
        <w:tc>
          <w:tcPr>
            <w:tcW w:w="7792" w:type="dxa"/>
            <w:gridSpan w:val="4"/>
          </w:tcPr>
          <w:p w14:paraId="67CD06A3" w14:textId="77777777" w:rsidR="00CA250F" w:rsidRPr="00CA250F" w:rsidRDefault="00CA250F" w:rsidP="00CA250F">
            <w:pPr>
              <w:pStyle w:val="Default"/>
              <w:shd w:val="clear" w:color="auto" w:fill="FFFFFF" w:themeFill="background1"/>
            </w:pPr>
            <w:r w:rsidRPr="00CA250F">
              <w:t>09UMS0015-3 Endüstriyel Boru Montajcısı (Seviye 3) Ulusal Meslek Standardı</w:t>
            </w:r>
          </w:p>
        </w:tc>
      </w:tr>
    </w:tbl>
    <w:p w14:paraId="6F6C9311" w14:textId="77777777" w:rsidR="00E46060" w:rsidRPr="00CA250F" w:rsidRDefault="00E46060" w:rsidP="00CA250F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88AA3C1" w14:textId="77777777" w:rsidR="00515BF8" w:rsidRPr="00CA250F" w:rsidRDefault="00515BF8" w:rsidP="00CA25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CA250F" w:rsidRDefault="005A42C9" w:rsidP="00CA25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CA250F" w:rsidRDefault="00C62E53" w:rsidP="00CA25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C62E53" w:rsidRPr="00CA250F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6123" w14:textId="77777777" w:rsidR="00F27D0F" w:rsidRDefault="00F27D0F" w:rsidP="006438C3">
      <w:pPr>
        <w:spacing w:after="0" w:line="240" w:lineRule="auto"/>
      </w:pPr>
      <w:r>
        <w:separator/>
      </w:r>
    </w:p>
  </w:endnote>
  <w:endnote w:type="continuationSeparator" w:id="0">
    <w:p w14:paraId="53808E6F" w14:textId="77777777" w:rsidR="00F27D0F" w:rsidRDefault="00F27D0F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885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84D1" w14:textId="77777777" w:rsidR="00F27D0F" w:rsidRDefault="00F27D0F" w:rsidP="006438C3">
      <w:pPr>
        <w:spacing w:after="0" w:line="240" w:lineRule="auto"/>
      </w:pPr>
      <w:r>
        <w:separator/>
      </w:r>
    </w:p>
  </w:footnote>
  <w:footnote w:type="continuationSeparator" w:id="0">
    <w:p w14:paraId="16728A35" w14:textId="77777777" w:rsidR="00F27D0F" w:rsidRDefault="00F27D0F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BBF0" w14:textId="73E5D278" w:rsidR="001D0BF7" w:rsidRDefault="00F27D0F">
    <w:pPr>
      <w:pStyle w:val="stBilgi"/>
    </w:pPr>
    <w:r>
      <w:rPr>
        <w:noProof/>
      </w:rPr>
      <w:pict w14:anchorId="19353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7" type="#_x0000_t75" alt="" style="position:absolute;margin-left:0;margin-top:0;width:481.85pt;height:256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785E9E23" w:rsidR="00395A24" w:rsidRDefault="009E6D6A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1</w:t>
          </w:r>
          <w:r w:rsidR="00CA250F">
            <w:rPr>
              <w:rFonts w:ascii="Times New Roman" w:hAnsi="Times New Roman" w:cs="Times New Roman"/>
              <w:b/>
              <w:sz w:val="28"/>
              <w:szCs w:val="28"/>
            </w:rPr>
            <w:t>1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UY0</w:t>
          </w:r>
          <w:r w:rsidR="00CA250F">
            <w:rPr>
              <w:rFonts w:ascii="Times New Roman" w:hAnsi="Times New Roman" w:cs="Times New Roman"/>
              <w:b/>
              <w:sz w:val="28"/>
              <w:szCs w:val="28"/>
            </w:rPr>
            <w:t>013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-</w:t>
          </w:r>
          <w:r w:rsidR="00CA250F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/0</w:t>
          </w:r>
          <w:r w:rsidR="00CA250F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CA250F">
            <w:rPr>
              <w:rFonts w:ascii="Times New Roman" w:hAnsi="Times New Roman" w:cs="Times New Roman"/>
              <w:b/>
              <w:sz w:val="28"/>
              <w:szCs w:val="28"/>
            </w:rPr>
            <w:t xml:space="preserve">ENDÜSTRİYEL BORU MONTAJCISI 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2DA269" w14:textId="17F59A22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</w:t>
          </w:r>
          <w:r w:rsidR="00CA250F">
            <w:rPr>
              <w:rFonts w:ascii="Times New Roman" w:hAnsi="Times New Roman" w:cs="Times New Roman"/>
              <w:bCs/>
              <w:sz w:val="20"/>
              <w:szCs w:val="20"/>
            </w:rPr>
            <w:t>19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0F2087" w14:textId="3207E532" w:rsidR="006438C3" w:rsidRPr="00C62E53" w:rsidRDefault="009A78C1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07.05.2026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F27D0F">
    <w:pPr>
      <w:pStyle w:val="stBilgi"/>
    </w:pPr>
    <w:r>
      <w:rPr>
        <w:noProof/>
      </w:rPr>
      <w:pict w14:anchorId="68B98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6" type="#_x0000_t75" alt="" style="position:absolute;margin-left:0;margin-top:0;width:481.85pt;height:256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A4D" w14:textId="3AC0AEAE" w:rsidR="001D0BF7" w:rsidRDefault="00F27D0F">
    <w:pPr>
      <w:pStyle w:val="stBilgi"/>
    </w:pPr>
    <w:r>
      <w:rPr>
        <w:noProof/>
      </w:rPr>
      <w:pict w14:anchorId="1D714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alt="" style="position:absolute;margin-left:0;margin-top:0;width:481.85pt;height:256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0117C6"/>
    <w:rsid w:val="00013706"/>
    <w:rsid w:val="00171412"/>
    <w:rsid w:val="001D0BF7"/>
    <w:rsid w:val="00216F75"/>
    <w:rsid w:val="00294AA3"/>
    <w:rsid w:val="00395A24"/>
    <w:rsid w:val="003B19D2"/>
    <w:rsid w:val="003B5F8D"/>
    <w:rsid w:val="003D1DE7"/>
    <w:rsid w:val="00461FBD"/>
    <w:rsid w:val="0048597D"/>
    <w:rsid w:val="00515BF8"/>
    <w:rsid w:val="00547512"/>
    <w:rsid w:val="00574AFA"/>
    <w:rsid w:val="005A42C9"/>
    <w:rsid w:val="005F2B31"/>
    <w:rsid w:val="006438C3"/>
    <w:rsid w:val="007655EA"/>
    <w:rsid w:val="008C2840"/>
    <w:rsid w:val="00906B90"/>
    <w:rsid w:val="009A78C1"/>
    <w:rsid w:val="009C6D60"/>
    <w:rsid w:val="009D19FB"/>
    <w:rsid w:val="009E6D6A"/>
    <w:rsid w:val="00A14748"/>
    <w:rsid w:val="00A16941"/>
    <w:rsid w:val="00A509E3"/>
    <w:rsid w:val="00A64F87"/>
    <w:rsid w:val="00A879E9"/>
    <w:rsid w:val="00AA0D20"/>
    <w:rsid w:val="00AF5F6F"/>
    <w:rsid w:val="00B5491D"/>
    <w:rsid w:val="00BB33B9"/>
    <w:rsid w:val="00C62E53"/>
    <w:rsid w:val="00CA250F"/>
    <w:rsid w:val="00CA2DD7"/>
    <w:rsid w:val="00D21A80"/>
    <w:rsid w:val="00D92F49"/>
    <w:rsid w:val="00E46060"/>
    <w:rsid w:val="00E81709"/>
    <w:rsid w:val="00F27D0F"/>
    <w:rsid w:val="00F35F64"/>
    <w:rsid w:val="00F45D7C"/>
    <w:rsid w:val="00F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7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3567</Characters>
  <Application>Microsoft Office Word</Application>
  <DocSecurity>0</DocSecurity>
  <Lines>123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3</cp:revision>
  <cp:lastPrinted>2023-12-21T10:26:00Z</cp:lastPrinted>
  <dcterms:created xsi:type="dcterms:W3CDTF">2026-06-25T22:47:00Z</dcterms:created>
  <dcterms:modified xsi:type="dcterms:W3CDTF">2026-06-26T23:00:00Z</dcterms:modified>
</cp:coreProperties>
</file>