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276"/>
        <w:gridCol w:w="1417"/>
        <w:gridCol w:w="2977"/>
      </w:tblGrid>
      <w:tr w:rsidR="00515BF8" w:rsidRPr="00515BF8" w14:paraId="7B309AC9" w14:textId="77777777" w:rsidTr="00515BF8">
        <w:tc>
          <w:tcPr>
            <w:tcW w:w="2410" w:type="dxa"/>
            <w:shd w:val="clear" w:color="auto" w:fill="FFFFFF" w:themeFill="background1"/>
          </w:tcPr>
          <w:p w14:paraId="41F2305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49894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E10A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0A01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CE9AA2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515BF8" w:rsidRPr="00515BF8" w14:paraId="7997D409" w14:textId="77777777" w:rsidTr="00794585">
        <w:tc>
          <w:tcPr>
            <w:tcW w:w="2410" w:type="dxa"/>
          </w:tcPr>
          <w:p w14:paraId="12AF1951" w14:textId="0E69F1FC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UY0</w:t>
            </w:r>
            <w:r w:rsid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208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26AFB7C" w14:textId="0A5DADDE" w:rsidR="00515BF8" w:rsidRPr="00515BF8" w:rsidRDefault="00837340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Fotovoltaik Güç Sistemleri Personeli </w:t>
            </w:r>
          </w:p>
        </w:tc>
        <w:tc>
          <w:tcPr>
            <w:tcW w:w="1276" w:type="dxa"/>
          </w:tcPr>
          <w:p w14:paraId="3D3EB3B1" w14:textId="46E3E115" w:rsidR="00515BF8" w:rsidRPr="00515BF8" w:rsidRDefault="00837340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9805981" w14:textId="178E79B6" w:rsidR="00515BF8" w:rsidRPr="00515BF8" w:rsidRDefault="00837340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3BF6794A" w14:textId="4362B279" w:rsidR="00515BF8" w:rsidRPr="00515BF8" w:rsidRDefault="00837340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20/04/2022</w:t>
            </w:r>
          </w:p>
        </w:tc>
      </w:tr>
      <w:tr w:rsidR="00515BF8" w:rsidRPr="00515BF8" w14:paraId="4BCEE215" w14:textId="77777777" w:rsidTr="00794585">
        <w:tc>
          <w:tcPr>
            <w:tcW w:w="10490" w:type="dxa"/>
            <w:gridSpan w:val="5"/>
          </w:tcPr>
          <w:p w14:paraId="50AE5A66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518C5199" w14:textId="77777777" w:rsidTr="00515BF8">
        <w:trPr>
          <w:trHeight w:val="1214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AC4101A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8080" w:type="dxa"/>
            <w:gridSpan w:val="4"/>
            <w:vAlign w:val="center"/>
          </w:tcPr>
          <w:p w14:paraId="64C59406" w14:textId="33DF6916" w:rsidR="00837340" w:rsidRPr="00837340" w:rsidRDefault="00515BF8" w:rsidP="00837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yeterlilik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Fotovoltaik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Güç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Sistemleri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Personeli</w:t>
            </w:r>
            <w:proofErr w:type="spellEnd"/>
            <w:r w:rsid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Seviye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4)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mesleğinin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nitelikli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kişiler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tarafından</w:t>
            </w:r>
            <w:proofErr w:type="spellEnd"/>
            <w:r w:rsid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yürütülmesi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çalışmalarda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kalitenin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artırılması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54A4A75" w14:textId="52D2471B" w:rsidR="00837340" w:rsidRPr="00837340" w:rsidRDefault="00837340" w:rsidP="00837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sahip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olması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gereken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nitelikleri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yetkinlikleri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tanımlamak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0BC3214" w14:textId="3CE6E6F4" w:rsidR="00837340" w:rsidRPr="00837340" w:rsidRDefault="00837340" w:rsidP="00837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geçerli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güvenilir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yeterliliğini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kanıtlamasına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olanak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vermek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0C06FC2" w14:textId="5D1B4BC4" w:rsidR="00515BF8" w:rsidRPr="00A45A39" w:rsidRDefault="00837340" w:rsidP="00837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sistemine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sınav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kuruluşlarına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referans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kaynak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oluşturmak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hazırlanmıştır</w:t>
            </w:r>
            <w:proofErr w:type="spellEnd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15BF8" w:rsidRPr="00515BF8" w14:paraId="1FE131A9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F23388C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8080" w:type="dxa"/>
            <w:gridSpan w:val="4"/>
            <w:vAlign w:val="center"/>
          </w:tcPr>
          <w:p w14:paraId="553CFDCB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515BF8" w:rsidRPr="00515BF8" w14:paraId="5047265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D3ADCDD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8080" w:type="dxa"/>
            <w:gridSpan w:val="4"/>
          </w:tcPr>
          <w:p w14:paraId="7637D42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4CA179F0" w14:textId="77777777" w:rsidR="00837340" w:rsidRPr="00837340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15UY0208-4/A1: İş Sağlığı ve Güvenliği, Çevre Koruma, Kalite ve İş Organizasyonu</w:t>
            </w:r>
          </w:p>
          <w:p w14:paraId="69CFC7D3" w14:textId="77777777" w:rsidR="00837340" w:rsidRPr="00837340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15UY0208-4/A2: Fotovoltaik Güç Sistemi Mekanik Montajı</w:t>
            </w:r>
          </w:p>
          <w:p w14:paraId="7E6C2F5C" w14:textId="6331C91C" w:rsidR="00515BF8" w:rsidRPr="00515BF8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15UY0208-4/A3: Fotovoltaik Güç Sistemi Bakım ve Onarımı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cr/>
            </w:r>
            <w:r w:rsidR="00515BF8"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="00515BF8"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984BC3" w14:textId="5D5B7D2F" w:rsidR="00515BF8" w:rsidRPr="00515BF8" w:rsidRDefault="00A45A39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39F45D7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BF8" w:rsidRPr="00515BF8" w14:paraId="4B13A253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5495C9C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8080" w:type="dxa"/>
            <w:gridSpan w:val="4"/>
            <w:vAlign w:val="center"/>
          </w:tcPr>
          <w:p w14:paraId="2ED214BA" w14:textId="38119EE4" w:rsidR="00515BF8" w:rsidRPr="00515BF8" w:rsidRDefault="00A45A39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C71F6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3CD688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B47390C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ve Değerlendirme</w:t>
            </w:r>
          </w:p>
        </w:tc>
        <w:tc>
          <w:tcPr>
            <w:tcW w:w="8080" w:type="dxa"/>
            <w:gridSpan w:val="4"/>
            <w:vAlign w:val="center"/>
          </w:tcPr>
          <w:p w14:paraId="32BC0C21" w14:textId="02947E90" w:rsidR="00464010" w:rsidRPr="00464010" w:rsidRDefault="00464010" w:rsidP="0046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401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Sorumlu Emlak Danışmanı (Seviye 5) Mesleki Yeterlilik Belgesini elde etmek isteyen adaylar birimlerde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401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tanımlanan sınavlara tabi tutulur. Adayların yeterlilik belgesini alabilmeleri için birimlerde tanımlanan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401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sınavlardan başarılı olma şartı vardır. Yeterlilik birimlerindeki sınavlar, her bir birim için ayrı ayrı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401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yapılabileceği gibi birlikte de yapılabilir. Ancak her birimin değerlendirmesi bağımsız yapılmalıdır.</w:t>
            </w:r>
          </w:p>
          <w:p w14:paraId="520E9094" w14:textId="4E834A15" w:rsidR="00515BF8" w:rsidRPr="00515BF8" w:rsidRDefault="00464010" w:rsidP="004640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birimlerinin geçerlilik süresi, birimin başarıldığı tarihten itibaren 2 yıldır. Yeterlilik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4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birimlerinin birleştirilerek bir yeterliliğin elde edilebilmesi için tüm birimlerin geçerliliğini koruyor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4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olması gerekmektedir.</w:t>
            </w:r>
          </w:p>
        </w:tc>
      </w:tr>
      <w:tr w:rsidR="00515BF8" w:rsidRPr="00515BF8" w14:paraId="07C0D77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3049C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8080" w:type="dxa"/>
            <w:gridSpan w:val="4"/>
          </w:tcPr>
          <w:p w14:paraId="398A3FDD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5 yıldır.</w:t>
            </w:r>
          </w:p>
        </w:tc>
      </w:tr>
      <w:tr w:rsidR="00515BF8" w:rsidRPr="00515BF8" w14:paraId="21E7294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C1652A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8080" w:type="dxa"/>
            <w:gridSpan w:val="4"/>
          </w:tcPr>
          <w:p w14:paraId="4F6CF45B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4E881B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C27DA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8080" w:type="dxa"/>
            <w:gridSpan w:val="4"/>
          </w:tcPr>
          <w:p w14:paraId="736EACA6" w14:textId="00182801" w:rsidR="00837340" w:rsidRPr="00837340" w:rsidRDefault="00837340" w:rsidP="008373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yıllık geçerlilik süresinin sonunda belge sahibinin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performansı aşağıda tanımlanan yöntemlerden en az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 kullanılarak değerlendirmeye tabi tutulur.</w:t>
            </w:r>
          </w:p>
          <w:p w14:paraId="74C14A12" w14:textId="6275FAEF" w:rsidR="00837340" w:rsidRPr="00837340" w:rsidRDefault="00837340" w:rsidP="008373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a) 5 yıl belge geçerlilik süresi içerisinde toplamda en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az iki yıl veya son altı ay boyunca ilgili alanda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çalıştığını gösteren kayıtları (hizmet dökümü,</w:t>
            </w:r>
          </w:p>
          <w:p w14:paraId="59663214" w14:textId="0B462EB6" w:rsidR="00837340" w:rsidRPr="00837340" w:rsidRDefault="00837340" w:rsidP="008373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referans</w:t>
            </w:r>
            <w:proofErr w:type="gramEnd"/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yazısı/mektubu, sözleşme, fatura, </w:t>
            </w:r>
            <w:proofErr w:type="spellStart"/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portfolyo,vb</w:t>
            </w:r>
            <w:proofErr w:type="spellEnd"/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 sunmak,</w:t>
            </w:r>
          </w:p>
          <w:p w14:paraId="45FCC7FF" w14:textId="6D20E92E" w:rsidR="00837340" w:rsidRPr="00837340" w:rsidRDefault="00837340" w:rsidP="008373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b) Yeterlilik kapsamında yer alan yeterlilik birimleri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için tanımlanan performansa dayalı sınavlardan (P1)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başarılı olmak.</w:t>
            </w:r>
          </w:p>
          <w:p w14:paraId="7EB23001" w14:textId="1DC5A1FD" w:rsidR="00515BF8" w:rsidRPr="00515BF8" w:rsidRDefault="00837340" w:rsidP="008373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 şartlardan en az birini yerine getiren adayların belge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geçerlilik süreleri 5 yıl daha uzatılır.</w:t>
            </w:r>
          </w:p>
        </w:tc>
      </w:tr>
      <w:tr w:rsidR="00515BF8" w:rsidRPr="00515BF8" w14:paraId="3343C5F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6C5EE60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8080" w:type="dxa"/>
            <w:gridSpan w:val="4"/>
            <w:vAlign w:val="center"/>
          </w:tcPr>
          <w:p w14:paraId="4AD9EB84" w14:textId="3B7DFE80" w:rsidR="00837340" w:rsidRPr="00837340" w:rsidRDefault="00515BF8" w:rsidP="008373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7340">
              <w:t xml:space="preserve"> </w:t>
            </w:r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Dikey İlerleme Yolu: Fotovoltaik Güç Sistemleri Personeli</w:t>
            </w:r>
            <w:r w:rsid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340" w:rsidRP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(Seviye 5)</w:t>
            </w:r>
          </w:p>
          <w:p w14:paraId="6256B3FC" w14:textId="252D0EA8" w:rsidR="00515BF8" w:rsidRPr="00515BF8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Yatay İlerleme Yolu</w:t>
            </w:r>
            <w:proofErr w:type="gramStart"/>
            <w:r w:rsidRP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  <w:proofErr w:type="gramEnd"/>
          </w:p>
        </w:tc>
      </w:tr>
      <w:tr w:rsidR="00515BF8" w:rsidRPr="00515BF8" w14:paraId="05E7360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0E01B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8080" w:type="dxa"/>
            <w:gridSpan w:val="4"/>
            <w:vAlign w:val="center"/>
          </w:tcPr>
          <w:p w14:paraId="166404A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Teorik (Yazılı) Sınav: </w:t>
            </w:r>
          </w:p>
          <w:p w14:paraId="16122460" w14:textId="3ACFC21A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Biriminden en az </w:t>
            </w:r>
            <w:r w:rsid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510A3DD5" w14:textId="727A8277" w:rsid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Biriminden en az </w:t>
            </w:r>
            <w:r w:rsid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3B1F48C1" w14:textId="7ECFED6F" w:rsidR="00837340" w:rsidRPr="00515BF8" w:rsidRDefault="00837340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A3 Biriminden en az 7 soru</w:t>
            </w:r>
          </w:p>
          <w:p w14:paraId="10F2EEBF" w14:textId="2542E4FC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Soru başına düşün süre </w:t>
            </w:r>
            <w:r w:rsidR="00837340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A45A39"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dakikadır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DCB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625D414" w14:textId="2BB191F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Sınav Süresi </w:t>
            </w:r>
            <w:r w:rsidR="000203B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0 DK</w:t>
            </w:r>
          </w:p>
          <w:p w14:paraId="0445D41E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4BAD32DE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20F7332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8080" w:type="dxa"/>
            <w:gridSpan w:val="4"/>
            <w:vAlign w:val="center"/>
          </w:tcPr>
          <w:p w14:paraId="75C30CCB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Teorik (Yazılı) Sınav: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CEBA76" w14:textId="3843B699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A2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A3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Biriminden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53D41E4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9B5D39" w14:textId="26ECCB6A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A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Birimlerinin performans uygulamalarından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916A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4CC453D7" w14:textId="77777777" w:rsidR="00916A76" w:rsidRPr="00916A76" w:rsidRDefault="00515BF8" w:rsidP="00916A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6A76" w:rsidRPr="00916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Adayın söz konusu birimden başarılı sayılması için T1 sınavından başarılı olması gerekir. Yeterlilik</w:t>
            </w:r>
          </w:p>
          <w:p w14:paraId="625400BD" w14:textId="22D1308E" w:rsidR="00515BF8" w:rsidRPr="00515BF8" w:rsidRDefault="00916A76" w:rsidP="00916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biriminin</w:t>
            </w:r>
            <w:proofErr w:type="gramEnd"/>
            <w:r w:rsidRPr="00916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geçerlilik süresi birimin başarıldığı tarihten itibaren 2 yıldır.</w:t>
            </w:r>
          </w:p>
        </w:tc>
      </w:tr>
      <w:tr w:rsidR="00515BF8" w:rsidRPr="00515BF8" w14:paraId="6129BB5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E85512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8080" w:type="dxa"/>
            <w:gridSpan w:val="4"/>
            <w:vAlign w:val="center"/>
          </w:tcPr>
          <w:p w14:paraId="6B8826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515BF8" w:rsidRPr="00515BF8" w14:paraId="2E8E97C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904A5A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8080" w:type="dxa"/>
            <w:gridSpan w:val="4"/>
            <w:vAlign w:val="center"/>
          </w:tcPr>
          <w:p w14:paraId="62533E6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515BF8" w:rsidRPr="00515BF8" w14:paraId="6DFA367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F610E9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</w:t>
            </w:r>
            <w:proofErr w:type="gramStart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Kuruluş(</w:t>
            </w:r>
            <w:proofErr w:type="spellStart"/>
            <w:proofErr w:type="gram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Lar</w:t>
            </w:r>
            <w:proofErr w:type="spell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) </w:t>
            </w:r>
          </w:p>
        </w:tc>
        <w:tc>
          <w:tcPr>
            <w:tcW w:w="8080" w:type="dxa"/>
            <w:gridSpan w:val="4"/>
            <w:vAlign w:val="center"/>
          </w:tcPr>
          <w:p w14:paraId="129187BA" w14:textId="77777777" w:rsidR="00837340" w:rsidRPr="00837340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Geliştiren: Ege Üniversitesi Güneş Enerjisi Enstitüsü</w:t>
            </w:r>
          </w:p>
          <w:p w14:paraId="74109D98" w14:textId="77777777" w:rsidR="00837340" w:rsidRPr="00837340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Güncelleyen: Uluslararası Güneş Enerjisi Topluluğu–</w:t>
            </w:r>
          </w:p>
          <w:p w14:paraId="3978E51C" w14:textId="4CDD04F4" w:rsidR="00515BF8" w:rsidRPr="00515BF8" w:rsidRDefault="00837340" w:rsidP="008373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Türkiye Bölümü (GÜNDER)</w:t>
            </w:r>
          </w:p>
        </w:tc>
      </w:tr>
      <w:tr w:rsidR="00515BF8" w:rsidRPr="00515BF8" w14:paraId="2FA98BF0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309590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8080" w:type="dxa"/>
            <w:gridSpan w:val="4"/>
            <w:vAlign w:val="center"/>
          </w:tcPr>
          <w:p w14:paraId="4A4762E3" w14:textId="4360484E" w:rsidR="00515BF8" w:rsidRPr="00515BF8" w:rsidRDefault="00837340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MYK Enerji Sektör Komitesi </w:t>
            </w:r>
          </w:p>
        </w:tc>
      </w:tr>
      <w:tr w:rsidR="00515BF8" w:rsidRPr="00515BF8" w14:paraId="1D4616B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66A382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8080" w:type="dxa"/>
            <w:gridSpan w:val="4"/>
            <w:vAlign w:val="center"/>
          </w:tcPr>
          <w:p w14:paraId="0273530F" w14:textId="52F33A13" w:rsidR="00515BF8" w:rsidRPr="00515BF8" w:rsidRDefault="000203BA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3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20/04/2022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-01</w:t>
            </w:r>
          </w:p>
        </w:tc>
      </w:tr>
      <w:tr w:rsidR="00515BF8" w:rsidRPr="00515BF8" w14:paraId="1CC4E4CF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4E1D05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8080" w:type="dxa"/>
            <w:gridSpan w:val="4"/>
            <w:vAlign w:val="center"/>
          </w:tcPr>
          <w:p w14:paraId="06022EAA" w14:textId="70CC4A03" w:rsidR="00515BF8" w:rsidRPr="00515BF8" w:rsidRDefault="000203BA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203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12UMS0226-4 Fotovoltaik Güç Sistemleri Personeli (Seviye 4) Ulusal Meslek Standardı</w:t>
            </w:r>
          </w:p>
        </w:tc>
      </w:tr>
    </w:tbl>
    <w:p w14:paraId="488AA3C1" w14:textId="77777777" w:rsidR="00515BF8" w:rsidRPr="00515BF8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23F9" w14:textId="77777777" w:rsidR="00B25622" w:rsidRDefault="00B25622" w:rsidP="006438C3">
      <w:pPr>
        <w:spacing w:after="0" w:line="240" w:lineRule="auto"/>
      </w:pPr>
      <w:r>
        <w:separator/>
      </w:r>
    </w:p>
  </w:endnote>
  <w:endnote w:type="continuationSeparator" w:id="0">
    <w:p w14:paraId="5DECF765" w14:textId="77777777" w:rsidR="00B25622" w:rsidRDefault="00B25622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4F3A" w14:textId="77777777" w:rsidR="00B25622" w:rsidRDefault="00B25622" w:rsidP="006438C3">
      <w:pPr>
        <w:spacing w:after="0" w:line="240" w:lineRule="auto"/>
      </w:pPr>
      <w:r>
        <w:separator/>
      </w:r>
    </w:p>
  </w:footnote>
  <w:footnote w:type="continuationSeparator" w:id="0">
    <w:p w14:paraId="42E085DA" w14:textId="77777777" w:rsidR="00B25622" w:rsidRDefault="00B25622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000000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71E8F693" w:rsidR="00395A24" w:rsidRDefault="00837340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7340">
            <w:rPr>
              <w:rFonts w:ascii="Times New Roman" w:hAnsi="Times New Roman" w:cs="Times New Roman"/>
              <w:b/>
              <w:sz w:val="28"/>
              <w:szCs w:val="28"/>
            </w:rPr>
            <w:tab/>
            <w:t>15UY0208-4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/01</w:t>
          </w:r>
          <w:r w:rsidRPr="00837340">
            <w:rPr>
              <w:rFonts w:ascii="Times New Roman" w:hAnsi="Times New Roman" w:cs="Times New Roman"/>
              <w:b/>
              <w:sz w:val="28"/>
              <w:szCs w:val="28"/>
            </w:rPr>
            <w:t xml:space="preserve"> FOTOVOLTAİK GÜÇ SİSTEMLERİ PERSONELİ </w:t>
          </w:r>
          <w:r w:rsidRPr="00A45A39">
            <w:rPr>
              <w:rFonts w:ascii="Times New Roman" w:hAnsi="Times New Roman" w:cs="Times New Roman"/>
              <w:b/>
              <w:sz w:val="28"/>
              <w:szCs w:val="28"/>
            </w:rPr>
            <w:t>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16A2E316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</w:t>
          </w:r>
          <w:r w:rsidR="00A45A39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="00837340">
            <w:rPr>
              <w:rFonts w:ascii="Times New Roman" w:hAnsi="Times New Roman" w:cs="Times New Roman"/>
              <w:bCs/>
              <w:sz w:val="20"/>
              <w:szCs w:val="20"/>
            </w:rPr>
            <w:t>2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000000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000000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0203BA"/>
    <w:rsid w:val="000C3160"/>
    <w:rsid w:val="001D0BF7"/>
    <w:rsid w:val="00395A24"/>
    <w:rsid w:val="003B5F8D"/>
    <w:rsid w:val="00464010"/>
    <w:rsid w:val="004678F0"/>
    <w:rsid w:val="00515BF8"/>
    <w:rsid w:val="00547512"/>
    <w:rsid w:val="005A42C9"/>
    <w:rsid w:val="006438C3"/>
    <w:rsid w:val="00837340"/>
    <w:rsid w:val="00906B90"/>
    <w:rsid w:val="00916A76"/>
    <w:rsid w:val="009D19FB"/>
    <w:rsid w:val="00A45A39"/>
    <w:rsid w:val="00A64F87"/>
    <w:rsid w:val="00AF5F6F"/>
    <w:rsid w:val="00B25622"/>
    <w:rsid w:val="00C62E53"/>
    <w:rsid w:val="00CA2DD7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3</cp:revision>
  <cp:lastPrinted>2023-12-28T16:30:00Z</cp:lastPrinted>
  <dcterms:created xsi:type="dcterms:W3CDTF">2023-12-27T14:30:00Z</dcterms:created>
  <dcterms:modified xsi:type="dcterms:W3CDTF">2023-12-28T16:42:00Z</dcterms:modified>
</cp:coreProperties>
</file>